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before="0" w:line="240" w:lineRule="auto"/>
        <w:rPr>
          <w:rFonts w:ascii="Times New Roman" w:hAnsi="Times New Roman"/>
          <w:sz w:val="22"/>
          <w:szCs w:val="22"/>
        </w:rPr>
      </w:pPr>
    </w:p>
    <w:p>
      <w:pPr>
        <w:pStyle w:val="Default"/>
        <w:spacing w:before="0" w:line="240" w:lineRule="auto"/>
        <w:jc w:val="center"/>
        <w:rPr>
          <w:rFonts w:ascii="Times New Roman" w:cs="Times New Roman" w:hAnsi="Times New Roman" w:eastAsia="Times New Roman"/>
          <w:b w:val="1"/>
          <w:bCs w:val="1"/>
          <w:sz w:val="22"/>
          <w:szCs w:val="22"/>
        </w:rPr>
      </w:pPr>
      <w:r>
        <w:rPr>
          <w:rFonts w:ascii="Times New Roman" w:hAnsi="Times New Roman"/>
          <w:b w:val="1"/>
          <w:bCs w:val="1"/>
          <w:sz w:val="22"/>
          <w:szCs w:val="22"/>
          <w:rtl w:val="0"/>
          <w:lang w:val="en-US"/>
        </w:rPr>
        <w:t>Talking Points in Opposition to SAPHE 2.0 as Written</w:t>
      </w:r>
    </w:p>
    <w:p>
      <w:pPr>
        <w:pStyle w:val="Default"/>
        <w:spacing w:before="0" w:line="240" w:lineRule="auto"/>
        <w:rPr>
          <w:rFonts w:ascii="Times New Roman" w:cs="Times New Roman" w:hAnsi="Times New Roman" w:eastAsia="Times New Roman"/>
          <w:sz w:val="22"/>
          <w:szCs w:val="22"/>
        </w:rPr>
      </w:pPr>
    </w:p>
    <w:p>
      <w:pPr>
        <w:pStyle w:val="Default"/>
        <w:spacing w:before="0" w:line="240" w:lineRule="auto"/>
        <w:rPr>
          <w:rFonts w:ascii="Times New Roman" w:cs="Times New Roman" w:hAnsi="Times New Roman" w:eastAsia="Times New Roman"/>
          <w:sz w:val="22"/>
          <w:szCs w:val="22"/>
        </w:rPr>
      </w:pPr>
      <w:r>
        <w:rPr>
          <w:rFonts w:ascii="Times New Roman" w:hAnsi="Times New Roman"/>
          <w:sz w:val="22"/>
          <w:szCs w:val="22"/>
          <w:rtl w:val="0"/>
          <w:lang w:val="en-US"/>
        </w:rPr>
        <w:t xml:space="preserve">S1334/H2204 is known as the </w:t>
      </w:r>
      <w:r>
        <w:rPr>
          <w:rFonts w:ascii="Times New Roman" w:hAnsi="Times New Roman" w:hint="default"/>
          <w:sz w:val="22"/>
          <w:szCs w:val="22"/>
          <w:rtl w:val="0"/>
          <w:lang w:val="en-US"/>
        </w:rPr>
        <w:t>“</w:t>
      </w:r>
      <w:r>
        <w:rPr>
          <w:rFonts w:ascii="Times New Roman" w:hAnsi="Times New Roman"/>
          <w:sz w:val="22"/>
          <w:szCs w:val="22"/>
          <w:rtl w:val="0"/>
          <w:lang w:val="en-US"/>
        </w:rPr>
        <w:t>Statewide Accelerated Public Health for Every Community Act</w:t>
      </w:r>
      <w:r>
        <w:rPr>
          <w:rFonts w:ascii="Times New Roman" w:hAnsi="Times New Roman" w:hint="default"/>
          <w:sz w:val="22"/>
          <w:szCs w:val="22"/>
          <w:rtl w:val="0"/>
          <w:lang w:val="en-US"/>
        </w:rPr>
        <w:t xml:space="preserve">” </w:t>
      </w:r>
      <w:r>
        <w:rPr>
          <w:rFonts w:ascii="Times New Roman" w:hAnsi="Times New Roman"/>
          <w:sz w:val="22"/>
          <w:szCs w:val="22"/>
          <w:rtl w:val="0"/>
          <w:lang w:val="en-US"/>
        </w:rPr>
        <w:t xml:space="preserve">(or </w:t>
      </w:r>
      <w:r>
        <w:rPr>
          <w:rFonts w:ascii="Times New Roman" w:hAnsi="Times New Roman" w:hint="default"/>
          <w:sz w:val="22"/>
          <w:szCs w:val="22"/>
          <w:rtl w:val="0"/>
          <w:lang w:val="en-US"/>
        </w:rPr>
        <w:t>“</w:t>
      </w:r>
      <w:r>
        <w:rPr>
          <w:rFonts w:ascii="Times New Roman" w:hAnsi="Times New Roman"/>
          <w:sz w:val="22"/>
          <w:szCs w:val="22"/>
          <w:rtl w:val="0"/>
          <w:lang w:val="en-US"/>
        </w:rPr>
        <w:t>SAPHE 2.0</w:t>
      </w:r>
      <w:r>
        <w:rPr>
          <w:rFonts w:ascii="Times New Roman" w:hAnsi="Times New Roman" w:hint="default"/>
          <w:sz w:val="22"/>
          <w:szCs w:val="22"/>
          <w:rtl w:val="0"/>
          <w:lang w:val="en-US"/>
        </w:rPr>
        <w:t>”</w:t>
      </w:r>
      <w:r>
        <w:rPr>
          <w:rFonts w:ascii="Times New Roman" w:hAnsi="Times New Roman"/>
          <w:sz w:val="22"/>
          <w:szCs w:val="22"/>
          <w:rtl w:val="0"/>
          <w:lang w:val="en-US"/>
        </w:rPr>
        <w:t xml:space="preserve">). The preamble to the bill states that it is </w:t>
      </w:r>
      <w:r>
        <w:rPr>
          <w:rFonts w:ascii="Times New Roman" w:hAnsi="Times New Roman" w:hint="default"/>
          <w:sz w:val="22"/>
          <w:szCs w:val="22"/>
          <w:rtl w:val="0"/>
          <w:lang w:val="en-US"/>
        </w:rPr>
        <w:t>“</w:t>
      </w:r>
      <w:r>
        <w:rPr>
          <w:rFonts w:ascii="Times New Roman" w:hAnsi="Times New Roman"/>
          <w:sz w:val="22"/>
          <w:szCs w:val="22"/>
          <w:rtl w:val="0"/>
          <w:lang w:val="en-US"/>
        </w:rPr>
        <w:t>An Act relative to accelerating improvements to the local and regional public health system to address disparities in the delivery of public health services.</w:t>
      </w:r>
      <w:r>
        <w:rPr>
          <w:rFonts w:ascii="Times New Roman" w:hAnsi="Times New Roman" w:hint="default"/>
          <w:sz w:val="22"/>
          <w:szCs w:val="22"/>
          <w:rtl w:val="0"/>
          <w:lang w:val="en-US"/>
        </w:rPr>
        <w:t>”</w:t>
      </w:r>
    </w:p>
    <w:p>
      <w:pPr>
        <w:pStyle w:val="Default"/>
        <w:spacing w:before="0" w:line="240" w:lineRule="auto"/>
        <w:rPr>
          <w:rFonts w:ascii="Times New Roman" w:cs="Times New Roman" w:hAnsi="Times New Roman" w:eastAsia="Times New Roman"/>
          <w:sz w:val="22"/>
          <w:szCs w:val="22"/>
        </w:rPr>
      </w:pPr>
    </w:p>
    <w:p>
      <w:pPr>
        <w:pStyle w:val="Default"/>
        <w:spacing w:before="0" w:line="240" w:lineRule="auto"/>
        <w:rPr>
          <w:rFonts w:ascii="Times New Roman" w:cs="Times New Roman" w:hAnsi="Times New Roman" w:eastAsia="Times New Roman"/>
          <w:sz w:val="22"/>
          <w:szCs w:val="22"/>
        </w:rPr>
      </w:pPr>
      <w:r>
        <w:rPr>
          <w:rFonts w:ascii="Times New Roman" w:hAnsi="Times New Roman"/>
          <w:sz w:val="22"/>
          <w:szCs w:val="22"/>
          <w:rtl w:val="0"/>
          <w:lang w:val="en-US"/>
        </w:rPr>
        <w:t>While improving public health is a laudable aim, this bill</w:t>
      </w:r>
      <w:r>
        <w:rPr>
          <w:rFonts w:ascii="Times New Roman" w:hAnsi="Times New Roman" w:hint="default"/>
          <w:sz w:val="22"/>
          <w:szCs w:val="22"/>
          <w:rtl w:val="0"/>
          <w:lang w:val="en-US"/>
        </w:rPr>
        <w:t>—</w:t>
      </w:r>
      <w:r>
        <w:rPr>
          <w:rFonts w:ascii="Times New Roman" w:hAnsi="Times New Roman"/>
          <w:sz w:val="22"/>
          <w:szCs w:val="22"/>
          <w:rtl w:val="0"/>
          <w:lang w:val="en-US"/>
        </w:rPr>
        <w:t>as written</w:t>
      </w:r>
      <w:r>
        <w:rPr>
          <w:rFonts w:ascii="Times New Roman" w:hAnsi="Times New Roman" w:hint="default"/>
          <w:sz w:val="22"/>
          <w:szCs w:val="22"/>
          <w:rtl w:val="0"/>
          <w:lang w:val="en-US"/>
        </w:rPr>
        <w:t>—</w:t>
      </w:r>
      <w:r>
        <w:rPr>
          <w:rFonts w:ascii="Times New Roman" w:hAnsi="Times New Roman"/>
          <w:sz w:val="22"/>
          <w:szCs w:val="22"/>
          <w:rtl w:val="0"/>
          <w:lang w:val="en-US"/>
        </w:rPr>
        <w:t>has several major defects:</w:t>
      </w:r>
    </w:p>
    <w:p>
      <w:pPr>
        <w:pStyle w:val="Default"/>
        <w:spacing w:before="0" w:line="240" w:lineRule="auto"/>
        <w:rPr>
          <w:rFonts w:ascii="Times New Roman" w:cs="Times New Roman" w:hAnsi="Times New Roman" w:eastAsia="Times New Roman"/>
          <w:sz w:val="22"/>
          <w:szCs w:val="22"/>
        </w:rPr>
      </w:pPr>
    </w:p>
    <w:p>
      <w:pPr>
        <w:pStyle w:val="Default"/>
        <w:numPr>
          <w:ilvl w:val="0"/>
          <w:numId w:val="2"/>
        </w:numPr>
        <w:bidi w:val="0"/>
        <w:spacing w:before="0" w:line="240" w:lineRule="auto"/>
        <w:ind w:right="0"/>
        <w:jc w:val="left"/>
        <w:rPr>
          <w:rFonts w:ascii="Times New Roman" w:hAnsi="Times New Roman"/>
          <w:sz w:val="22"/>
          <w:szCs w:val="22"/>
          <w:rtl w:val="0"/>
          <w:lang w:val="en-US"/>
        </w:rPr>
      </w:pPr>
      <w:r>
        <w:rPr>
          <w:rFonts w:ascii="Times New Roman" w:hAnsi="Times New Roman"/>
          <w:sz w:val="22"/>
          <w:szCs w:val="22"/>
          <w:rtl w:val="0"/>
          <w:lang w:val="en-US"/>
        </w:rPr>
        <w:t xml:space="preserve">It would create what is likely to become a large new state bureaucracy that will be expensive to maintain. To set up this system, the state is using federal funds provided through the ARPA program (the </w:t>
      </w:r>
      <w:r>
        <w:rPr>
          <w:rFonts w:ascii="Times New Roman" w:hAnsi="Times New Roman" w:hint="default"/>
          <w:sz w:val="22"/>
          <w:szCs w:val="22"/>
          <w:rtl w:val="0"/>
          <w:lang w:val="en-US"/>
        </w:rPr>
        <w:t>“</w:t>
      </w:r>
      <w:r>
        <w:rPr>
          <w:rFonts w:ascii="Times New Roman" w:hAnsi="Times New Roman"/>
          <w:sz w:val="22"/>
          <w:szCs w:val="22"/>
          <w:rtl w:val="0"/>
          <w:lang w:val="en-US"/>
        </w:rPr>
        <w:t>American Rescue Plan Act of 2021</w:t>
      </w:r>
      <w:r>
        <w:rPr>
          <w:rFonts w:ascii="Times New Roman" w:hAnsi="Times New Roman" w:hint="default"/>
          <w:sz w:val="22"/>
          <w:szCs w:val="22"/>
          <w:rtl w:val="0"/>
          <w:lang w:val="en-US"/>
        </w:rPr>
        <w:t>”</w:t>
      </w:r>
      <w:r>
        <w:rPr>
          <w:rFonts w:ascii="Times New Roman" w:hAnsi="Times New Roman"/>
          <w:sz w:val="22"/>
          <w:szCs w:val="22"/>
          <w:rtl w:val="0"/>
          <w:lang w:val="en-US"/>
        </w:rPr>
        <w:t>). However, these funds are only temporarily available, and so the cost of maintaining this system will fall on the shoulders of MA taxpayers.</w:t>
      </w:r>
    </w:p>
    <w:p>
      <w:pPr>
        <w:pStyle w:val="Default"/>
        <w:spacing w:before="0" w:line="240" w:lineRule="auto"/>
        <w:ind w:left="360" w:firstLine="0"/>
        <w:rPr>
          <w:rFonts w:ascii="Times New Roman" w:cs="Times New Roman" w:hAnsi="Times New Roman" w:eastAsia="Times New Roman"/>
          <w:sz w:val="22"/>
          <w:szCs w:val="22"/>
        </w:rPr>
      </w:pPr>
    </w:p>
    <w:p>
      <w:pPr>
        <w:pStyle w:val="Default"/>
        <w:numPr>
          <w:ilvl w:val="0"/>
          <w:numId w:val="2"/>
        </w:numPr>
        <w:bidi w:val="0"/>
        <w:spacing w:before="0" w:line="240" w:lineRule="auto"/>
        <w:ind w:right="0"/>
        <w:jc w:val="left"/>
        <w:rPr>
          <w:rFonts w:ascii="Times New Roman" w:hAnsi="Times New Roman"/>
          <w:sz w:val="22"/>
          <w:szCs w:val="22"/>
          <w:rtl w:val="0"/>
          <w:lang w:val="en-US"/>
        </w:rPr>
      </w:pPr>
      <w:r>
        <w:rPr>
          <w:rFonts w:ascii="Times New Roman" w:hAnsi="Times New Roman"/>
          <w:sz w:val="22"/>
          <w:szCs w:val="22"/>
          <w:rtl w:val="0"/>
          <w:lang w:val="en-US"/>
        </w:rPr>
        <w:t xml:space="preserve">It would disempower existing local boards of health to manage their own local situation by placing local boards of health, in essence, under the jurisdiction of state governmental entities (the Departments of Public Health and Environmental Protection) far removed from local issues and needs. </w:t>
      </w:r>
    </w:p>
    <w:p>
      <w:pPr>
        <w:pStyle w:val="Default"/>
        <w:spacing w:before="0" w:line="240" w:lineRule="auto"/>
        <w:ind w:left="360" w:firstLine="0"/>
        <w:rPr>
          <w:rFonts w:ascii="Times New Roman" w:cs="Times New Roman" w:hAnsi="Times New Roman" w:eastAsia="Times New Roman"/>
          <w:sz w:val="22"/>
          <w:szCs w:val="22"/>
        </w:rPr>
      </w:pPr>
    </w:p>
    <w:p>
      <w:pPr>
        <w:pStyle w:val="Default"/>
        <w:numPr>
          <w:ilvl w:val="0"/>
          <w:numId w:val="2"/>
        </w:numPr>
        <w:bidi w:val="0"/>
        <w:spacing w:before="0" w:line="240" w:lineRule="auto"/>
        <w:ind w:right="0"/>
        <w:jc w:val="left"/>
        <w:rPr>
          <w:rFonts w:ascii="Times New Roman" w:hAnsi="Times New Roman"/>
          <w:sz w:val="22"/>
          <w:szCs w:val="22"/>
          <w:rtl w:val="0"/>
          <w:lang w:val="en-US"/>
        </w:rPr>
      </w:pPr>
      <w:r>
        <w:rPr>
          <w:rFonts w:ascii="Times New Roman" w:hAnsi="Times New Roman"/>
          <w:sz w:val="22"/>
          <w:szCs w:val="22"/>
          <w:rtl w:val="0"/>
          <w:lang w:val="en-US"/>
        </w:rPr>
        <w:t>It would give very broad, ill-defined powers to either of only two government officials</w:t>
      </w:r>
      <w:r>
        <w:rPr>
          <w:rFonts w:ascii="Times New Roman" w:hAnsi="Times New Roman" w:hint="default"/>
          <w:sz w:val="22"/>
          <w:szCs w:val="22"/>
          <w:rtl w:val="0"/>
          <w:lang w:val="en-US"/>
        </w:rPr>
        <w:t>—</w:t>
      </w:r>
      <w:r>
        <w:rPr>
          <w:rFonts w:ascii="Times New Roman" w:hAnsi="Times New Roman"/>
          <w:sz w:val="22"/>
          <w:szCs w:val="22"/>
          <w:rtl w:val="0"/>
          <w:lang w:val="en-US"/>
        </w:rPr>
        <w:t>the Commissioner of Public Health and the Commissioner of Environmental Protection</w:t>
      </w:r>
      <w:r>
        <w:rPr>
          <w:rFonts w:ascii="Times New Roman" w:hAnsi="Times New Roman" w:hint="default"/>
          <w:sz w:val="22"/>
          <w:szCs w:val="22"/>
          <w:rtl w:val="0"/>
          <w:lang w:val="en-US"/>
        </w:rPr>
        <w:t>—</w:t>
      </w:r>
      <w:r>
        <w:rPr>
          <w:rFonts w:ascii="Times New Roman" w:hAnsi="Times New Roman"/>
          <w:sz w:val="22"/>
          <w:szCs w:val="22"/>
          <w:rtl w:val="0"/>
          <w:lang w:val="en-US"/>
        </w:rPr>
        <w:t xml:space="preserve">to organize </w:t>
      </w:r>
      <w:r>
        <w:rPr>
          <w:rFonts w:ascii="Times New Roman" w:hAnsi="Times New Roman" w:hint="default"/>
          <w:sz w:val="22"/>
          <w:szCs w:val="22"/>
          <w:rtl w:val="0"/>
          <w:lang w:val="en-US"/>
        </w:rPr>
        <w:t>“</w:t>
      </w:r>
      <w:r>
        <w:rPr>
          <w:rFonts w:ascii="Times New Roman" w:hAnsi="Times New Roman"/>
          <w:sz w:val="22"/>
          <w:szCs w:val="22"/>
          <w:rtl w:val="0"/>
          <w:lang w:val="en-US"/>
        </w:rPr>
        <w:t>the public health response</w:t>
      </w:r>
      <w:r>
        <w:rPr>
          <w:rFonts w:ascii="Times New Roman" w:hAnsi="Times New Roman" w:hint="default"/>
          <w:sz w:val="22"/>
          <w:szCs w:val="22"/>
          <w:rtl w:val="0"/>
          <w:lang w:val="en-US"/>
        </w:rPr>
        <w:t xml:space="preserve">” </w:t>
      </w:r>
      <w:r>
        <w:rPr>
          <w:rFonts w:ascii="Times New Roman" w:hAnsi="Times New Roman"/>
          <w:sz w:val="22"/>
          <w:szCs w:val="22"/>
          <w:rtl w:val="0"/>
          <w:lang w:val="en-US"/>
        </w:rPr>
        <w:t xml:space="preserve">to an </w:t>
      </w:r>
      <w:r>
        <w:rPr>
          <w:rFonts w:ascii="Times New Roman" w:hAnsi="Times New Roman" w:hint="default"/>
          <w:sz w:val="22"/>
          <w:szCs w:val="22"/>
          <w:rtl w:val="0"/>
          <w:lang w:val="en-US"/>
        </w:rPr>
        <w:t>“</w:t>
      </w:r>
      <w:r>
        <w:rPr>
          <w:rFonts w:ascii="Times New Roman" w:hAnsi="Times New Roman"/>
          <w:sz w:val="22"/>
          <w:szCs w:val="22"/>
          <w:rtl w:val="0"/>
          <w:lang w:val="en-US"/>
        </w:rPr>
        <w:t>outbreak of a disease or health care situation important to the public health affecting more than 1 board of health</w:t>
      </w:r>
      <w:r>
        <w:rPr>
          <w:rFonts w:ascii="Times New Roman" w:hAnsi="Times New Roman" w:hint="default"/>
          <w:sz w:val="22"/>
          <w:szCs w:val="22"/>
          <w:rtl w:val="0"/>
          <w:lang w:val="en-US"/>
        </w:rPr>
        <w:t xml:space="preserve">” </w:t>
      </w:r>
      <w:r>
        <w:rPr>
          <w:rFonts w:ascii="Times New Roman" w:hAnsi="Times New Roman"/>
          <w:sz w:val="22"/>
          <w:szCs w:val="22"/>
          <w:rtl w:val="0"/>
          <w:lang w:val="en-US"/>
        </w:rPr>
        <w:t xml:space="preserve">(lines 130-134 of the bill). What constitutes an </w:t>
      </w:r>
      <w:r>
        <w:rPr>
          <w:rFonts w:ascii="Times New Roman" w:hAnsi="Times New Roman" w:hint="default"/>
          <w:sz w:val="22"/>
          <w:szCs w:val="22"/>
          <w:rtl w:val="0"/>
          <w:lang w:val="en-US"/>
        </w:rPr>
        <w:t>“</w:t>
      </w:r>
      <w:r>
        <w:rPr>
          <w:rFonts w:ascii="Times New Roman" w:hAnsi="Times New Roman"/>
          <w:sz w:val="22"/>
          <w:szCs w:val="22"/>
          <w:rtl w:val="0"/>
          <w:lang w:val="en-US"/>
        </w:rPr>
        <w:t>outbreak of a disease or health care situation important to the public health</w:t>
      </w:r>
      <w:r>
        <w:rPr>
          <w:rFonts w:ascii="Times New Roman" w:hAnsi="Times New Roman" w:hint="default"/>
          <w:sz w:val="22"/>
          <w:szCs w:val="22"/>
          <w:rtl w:val="0"/>
          <w:lang w:val="en-US"/>
        </w:rPr>
        <w:t>”</w:t>
      </w:r>
      <w:r>
        <w:rPr>
          <w:rFonts w:ascii="Times New Roman" w:hAnsi="Times New Roman"/>
          <w:sz w:val="22"/>
          <w:szCs w:val="22"/>
          <w:rtl w:val="0"/>
          <w:lang w:val="en-US"/>
        </w:rPr>
        <w:t xml:space="preserve">? What kinds of </w:t>
      </w:r>
      <w:r>
        <w:rPr>
          <w:rFonts w:ascii="Times New Roman" w:hAnsi="Times New Roman" w:hint="default"/>
          <w:sz w:val="22"/>
          <w:szCs w:val="22"/>
          <w:rtl w:val="0"/>
          <w:lang w:val="en-US"/>
        </w:rPr>
        <w:t>“</w:t>
      </w:r>
      <w:r>
        <w:rPr>
          <w:rFonts w:ascii="Times New Roman" w:hAnsi="Times New Roman"/>
          <w:sz w:val="22"/>
          <w:szCs w:val="22"/>
          <w:rtl w:val="0"/>
          <w:lang w:val="en-US"/>
        </w:rPr>
        <w:t>public health response</w:t>
      </w:r>
      <w:r>
        <w:rPr>
          <w:rFonts w:ascii="Times New Roman" w:hAnsi="Times New Roman" w:hint="default"/>
          <w:sz w:val="22"/>
          <w:szCs w:val="22"/>
          <w:rtl w:val="0"/>
          <w:lang w:val="en-US"/>
        </w:rPr>
        <w:t>”</w:t>
      </w:r>
      <w:r>
        <w:rPr>
          <w:rFonts w:ascii="Times New Roman" w:hAnsi="Times New Roman"/>
          <w:sz w:val="22"/>
          <w:szCs w:val="22"/>
          <w:rtl w:val="0"/>
          <w:lang w:val="en-US"/>
        </w:rPr>
        <w:t>?</w:t>
      </w:r>
    </w:p>
    <w:p>
      <w:pPr>
        <w:pStyle w:val="Default"/>
        <w:spacing w:before="0" w:line="240" w:lineRule="auto"/>
        <w:ind w:left="360" w:firstLine="0"/>
        <w:rPr>
          <w:rFonts w:ascii="Times New Roman" w:cs="Times New Roman" w:hAnsi="Times New Roman" w:eastAsia="Times New Roman"/>
          <w:sz w:val="22"/>
          <w:szCs w:val="22"/>
        </w:rPr>
      </w:pPr>
    </w:p>
    <w:p>
      <w:pPr>
        <w:pStyle w:val="Default"/>
        <w:spacing w:before="0" w:line="240" w:lineRule="auto"/>
        <w:ind w:left="360" w:firstLine="0"/>
        <w:rPr>
          <w:rFonts w:ascii="Times New Roman" w:cs="Times New Roman" w:hAnsi="Times New Roman" w:eastAsia="Times New Roman"/>
          <w:sz w:val="22"/>
          <w:szCs w:val="22"/>
        </w:rPr>
      </w:pPr>
      <w:r>
        <w:rPr>
          <w:rFonts w:ascii="Times New Roman" w:hAnsi="Times New Roman"/>
          <w:sz w:val="22"/>
          <w:szCs w:val="22"/>
          <w:rtl w:val="0"/>
          <w:lang w:val="en-US"/>
        </w:rPr>
        <w:t>Could that response include lockdowns? School and business closures? Testing, tracking and tracing? Masking? Vaccine mandates? According to the bill, towns that agree to take the funding must comply. Are local town boards of health and local citizens aware of the loss of autonomy this bill would entail and have they been consulted?</w:t>
      </w:r>
    </w:p>
    <w:p>
      <w:pPr>
        <w:pStyle w:val="Default"/>
        <w:spacing w:before="0" w:line="240" w:lineRule="auto"/>
        <w:ind w:left="360" w:firstLine="0"/>
        <w:rPr>
          <w:rFonts w:ascii="Times New Roman" w:cs="Times New Roman" w:hAnsi="Times New Roman" w:eastAsia="Times New Roman"/>
          <w:sz w:val="22"/>
          <w:szCs w:val="22"/>
        </w:rPr>
      </w:pPr>
    </w:p>
    <w:p>
      <w:pPr>
        <w:pStyle w:val="Default"/>
        <w:numPr>
          <w:ilvl w:val="0"/>
          <w:numId w:val="2"/>
        </w:numPr>
        <w:bidi w:val="0"/>
        <w:spacing w:before="0" w:line="240" w:lineRule="auto"/>
        <w:ind w:right="0"/>
        <w:jc w:val="left"/>
        <w:rPr>
          <w:rFonts w:ascii="Times New Roman" w:hAnsi="Times New Roman"/>
          <w:sz w:val="22"/>
          <w:szCs w:val="22"/>
          <w:rtl w:val="0"/>
          <w:lang w:val="en-US"/>
        </w:rPr>
      </w:pPr>
      <w:r>
        <w:rPr>
          <w:rFonts w:ascii="Times New Roman" w:hAnsi="Times New Roman"/>
          <w:sz w:val="22"/>
          <w:szCs w:val="22"/>
          <w:rtl w:val="0"/>
          <w:lang w:val="en-US"/>
        </w:rPr>
        <w:t xml:space="preserve">The bill would allow for increased surveillance and tracking of individuals, and thus would further erode medical and personal privacy in the name of dealing with public health emergencies. </w:t>
      </w:r>
    </w:p>
    <w:p>
      <w:pPr>
        <w:pStyle w:val="Default"/>
        <w:spacing w:before="0" w:line="240" w:lineRule="auto"/>
        <w:rPr>
          <w:rFonts w:ascii="Times New Roman" w:cs="Times New Roman" w:hAnsi="Times New Roman" w:eastAsia="Times New Roman"/>
          <w:sz w:val="22"/>
          <w:szCs w:val="22"/>
        </w:rPr>
      </w:pPr>
    </w:p>
    <w:p>
      <w:pPr>
        <w:pStyle w:val="List Paragraph"/>
        <w:rPr>
          <w:sz w:val="22"/>
          <w:szCs w:val="22"/>
        </w:rPr>
      </w:pPr>
    </w:p>
    <w:p>
      <w:pPr>
        <w:pStyle w:val="Default"/>
        <w:spacing w:before="0" w:line="240" w:lineRule="auto"/>
      </w:pPr>
      <w:r>
        <w:rPr>
          <w:rFonts w:ascii="Times New Roman" w:hAnsi="Times New Roman"/>
          <w:sz w:val="22"/>
          <w:szCs w:val="22"/>
          <w:rtl w:val="0"/>
          <w:lang w:val="en-US"/>
        </w:rPr>
        <w:t>The Covid pandemic revealed the dangers of giving governmental agencies top-down, centralized authority to impose specific measures and mandates on local healthcare entities and individuals within local communities. Many of the Covid-related measures and mandates caused collateral harm to the physical and psychological health and well-being of individuals that continues to this day, as well as extensive economic harm due to lost jobs, bankrupted businesses, inflation, and supply chain interruptions. And the education of many students was interrupted. Given this experience, the Massachusetts legislature should err on the side of extreme caution when considering establishing a much more centralized public health infrastructure.</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Imported Style 1">
    <w:name w:val="Imported Style 1"/>
    <w:pPr>
      <w:numPr>
        <w:numId w:val="1"/>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